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33" w:rsidRPr="0092351C" w:rsidRDefault="00174D4D" w:rsidP="00FC2EC7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2351C">
        <w:rPr>
          <w:rFonts w:ascii="Verdana" w:hAnsi="Verdana" w:cs="Times New Roman"/>
          <w:b/>
          <w:sz w:val="20"/>
          <w:szCs w:val="20"/>
        </w:rPr>
        <w:t>Аналитический отчет с рекомендациями по итогам мониторинга сайтов управляющих компаний в сети интернет</w:t>
      </w:r>
    </w:p>
    <w:p w:rsidR="002D7B33" w:rsidRPr="0092351C" w:rsidRDefault="002D7B33" w:rsidP="00FC2EC7">
      <w:pPr>
        <w:spacing w:after="0" w:line="240" w:lineRule="auto"/>
        <w:ind w:firstLine="567"/>
        <w:jc w:val="both"/>
        <w:rPr>
          <w:rFonts w:ascii="Verdana" w:hAnsi="Verdana" w:cs="Times New Roman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Первоначально сведения об организациях, предоставляющих услуги управления общим имуществом многоквартирных домов были взяты с Портала «Реформа ЖКХ» (</w:t>
      </w:r>
      <w:hyperlink r:id="rId7" w:history="1">
        <w:r w:rsidRPr="0092351C">
          <w:rPr>
            <w:rFonts w:ascii="Verdana" w:hAnsi="Verdana" w:cs="Times New Roman"/>
            <w:sz w:val="20"/>
            <w:szCs w:val="20"/>
          </w:rPr>
          <w:t>http://www.reformagkh.ru</w:t>
        </w:r>
      </w:hyperlink>
      <w:r w:rsidRPr="0092351C">
        <w:rPr>
          <w:rFonts w:ascii="Verdana" w:hAnsi="Verdana" w:cs="Times New Roman"/>
          <w:sz w:val="20"/>
          <w:szCs w:val="20"/>
        </w:rPr>
        <w:t>). На данном сайте представлена информация о 473</w:t>
      </w:r>
      <w:r w:rsidR="00564A7D" w:rsidRPr="0092351C">
        <w:rPr>
          <w:rFonts w:ascii="Verdana" w:hAnsi="Verdana" w:cs="Times New Roman"/>
          <w:sz w:val="20"/>
          <w:szCs w:val="20"/>
        </w:rPr>
        <w:t xml:space="preserve"> </w:t>
      </w:r>
      <w:r w:rsidRPr="0092351C">
        <w:rPr>
          <w:rFonts w:ascii="Verdana" w:hAnsi="Verdana" w:cs="Times New Roman"/>
          <w:sz w:val="20"/>
          <w:szCs w:val="20"/>
        </w:rPr>
        <w:t>управляющих организациях Кемеровской области (включая 185 ТСЖ).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Портал — «Реформа ЖКХ» определен в качестве официального сайта для раскрытия информации организациями, осуществляющими деятельность в сфере управления многоквартирными домами Приказом Министерства регионального развития Российской Федерации</w:t>
      </w:r>
      <w:r w:rsidR="0092351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92351C">
          <w:rPr>
            <w:rFonts w:ascii="Verdana" w:hAnsi="Verdana" w:cs="Times New Roman"/>
            <w:sz w:val="20"/>
            <w:szCs w:val="20"/>
          </w:rPr>
          <w:t>№</w:t>
        </w:r>
        <w:r w:rsidR="0092351C">
          <w:rPr>
            <w:rFonts w:ascii="Verdana" w:hAnsi="Verdana" w:cs="Times New Roman"/>
            <w:sz w:val="20"/>
            <w:szCs w:val="20"/>
          </w:rPr>
          <w:t xml:space="preserve"> </w:t>
        </w:r>
        <w:r w:rsidRPr="0092351C">
          <w:rPr>
            <w:rFonts w:ascii="Verdana" w:hAnsi="Verdana" w:cs="Times New Roman"/>
            <w:sz w:val="20"/>
            <w:szCs w:val="20"/>
          </w:rPr>
          <w:t>124 от 0 2.04.2013 года</w:t>
        </w:r>
      </w:hyperlink>
      <w:r w:rsidRPr="0092351C">
        <w:rPr>
          <w:rFonts w:ascii="Verdana" w:hAnsi="Verdana" w:cs="Times New Roman"/>
          <w:sz w:val="20"/>
          <w:szCs w:val="20"/>
        </w:rPr>
        <w:t>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При проведении мониторинга сайтов управляющих компаний проверялась информация согласно акта Государственной жилищной инспекции Кемеровской области: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общая информация об управляющих компаниях (Полное и краткое наименование, сведения о руководителе, ОГРН, почтовый и юридический адрес и др.);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режим работы управляющей компании (личный прием граждан, диспетчерская служба);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перечень многоквартирных домов, находящихся в управлении управляющей компании, с которыми был заключен и расторгнут договор управления;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сведения о членстве управляющих компаний в саморегулируемой организации;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информация о показателях финансово-хозяйственной деятельности управляющих организаций;</w:t>
      </w:r>
    </w:p>
    <w:p w:rsidR="00FC2EC7" w:rsidRPr="0092351C" w:rsidRDefault="00FC2EC7" w:rsidP="00FC2E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информация о порядке оказания услуг (работ), о их стоимости, о ценах  (тарифах) на коммунальные ресурсы.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 xml:space="preserve">Всего 25 основных блоков (параметров) проведения мониторинга на наличие информации на сайте управляющих компаний. 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Блоки мониторинга сайта управляющей компании в сети интернет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Информационный блок 1: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Общая информация об управляющей организации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фирменное наименование юридического лица, фамилия, имя и отчество руководителя управляющей организации (полностью)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 и наименование органа, принявшего решение о регистрации),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почтовый адрес, адрес фактического местонахождения органов управления управляющей организации, контактные телефоны, официальный сайт в сети Интернет, адрес электронной почты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режим работы управляющей организации и</w:t>
      </w:r>
      <w:r w:rsidRPr="0092351C">
        <w:rPr>
          <w:rFonts w:ascii="Verdana" w:hAnsi="Verdana" w:cs="Times New Roman"/>
          <w:color w:val="000000"/>
          <w:sz w:val="20"/>
          <w:szCs w:val="20"/>
        </w:rPr>
        <w:t> часы работы диспетчерских служб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перечень многоквартирных домов, находящихся в управлении управляющей организации, с указанием адресов этих домов и общей площади помещений в них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перечень многоквартирных домов,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членстве управляющей организации в саморегулируемой организации и(или) других объединениях управляющих организаций  сведения о наименовании и адресе СРО или другого объединения, включая официальный сайт в сети Интернет</w:t>
      </w:r>
      <w:r w:rsidRPr="0092351C">
        <w:rPr>
          <w:rFonts w:ascii="Verdana" w:hAnsi="Verdana" w:cs="Times New Roman"/>
          <w:color w:val="000000"/>
          <w:sz w:val="20"/>
          <w:szCs w:val="20"/>
        </w:rPr>
        <w:cr/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Информационный блок 2: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Основные показатели финансово-хозяйственной деятельности управляющей организации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lastRenderedPageBreak/>
        <w:t>годовая бухгалтерская отчетность, включая бухгалтерский баланс и приложения к нему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</w:r>
    </w:p>
    <w:p w:rsidR="00FC2EC7" w:rsidRPr="0092351C" w:rsidRDefault="00FC2EC7" w:rsidP="00FC2EC7">
      <w:pPr>
        <w:spacing w:after="0" w:line="240" w:lineRule="auto"/>
        <w:ind w:left="720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Информационный блок 3: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перечень услуг, оказываемые управляющей организацией в отношении общего имущества собственников помещений в многоквартирном доме (в рамках договора управления, возможно в виде приложения к типовому договору управления)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услуги, связанные с достижением целей управления многоквартирным домом, которые оказываются управляющей организацией, в том числе: по обеспечению поставки в многоквартирный дом коммунальных ресурсов,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охранные услуги, учет собственников и т.п.3</w:t>
      </w:r>
    </w:p>
    <w:p w:rsidR="00FC2EC7" w:rsidRPr="0092351C" w:rsidRDefault="00FC2EC7" w:rsidP="00FC2EC7">
      <w:pPr>
        <w:spacing w:after="0" w:line="240" w:lineRule="auto"/>
        <w:ind w:left="720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Информационный блок 4: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Порядок и условия оказания услуг по содержанию и ремонту общего имущества в многоквартирном доме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проект договора управления (типовой договор), заключаемого с собственниками помещений в многоквартирных домах, который должен содержать все существенные условия договора управления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план работ на текущий год по содержанию и ремонту общего имущества многоквартирного дома, с указанием периодичности и сроков осуществления таких работ (услуг), сведения о выполнении (оказании) работ (услуг) и о причинах отклонения от плана, итоги выполнения плана работ в пошедшем году по содержанию и ремонту общего имущества многоквартирного дома, с указанием периодичности и сроков осуществления таких работ (услуг)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ненадлежащем выполнении работ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в случае привлечения управляющей организации в предыдущем календарном году к административной ответственности  за нарушения в сфере управления многоквартирными домами раскрытию подлежит количество таких случаев </w:t>
      </w:r>
    </w:p>
    <w:p w:rsidR="00FC2EC7" w:rsidRPr="0092351C" w:rsidRDefault="00FC2EC7" w:rsidP="00FC2EC7">
      <w:pPr>
        <w:spacing w:after="0" w:line="240" w:lineRule="auto"/>
        <w:ind w:left="720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>Информационный блок 5: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Сведения о стоимости работ (услуг) по содержанию и ремонту общего имущества в многоквартирном доме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описание содержания каждой работы (услуги), периодичность выполнения работы (оказания услуги), результат выполнения работы (оказания услуги) информация о гарантийном сроке (в случае, если гарантия качества работ </w:t>
      </w:r>
      <w:r w:rsidRPr="0092351C">
        <w:rPr>
          <w:rFonts w:ascii="Verdana" w:hAnsi="Verdana" w:cs="Times New Roman"/>
          <w:color w:val="000000"/>
          <w:sz w:val="20"/>
          <w:szCs w:val="20"/>
        </w:rPr>
        <w:lastRenderedPageBreak/>
        <w:t>предусмотрена федеральным законом, иным нормативным правовым актом Российской Федерации или предлагается управляющей организацией)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стоимость каждой работы (услуги) в расчете на единицу измерения (на 1 кв. метр общей площади помещений в многоквартирном доме, на 1 пог. метр соответствующих инженерных сетей, на 1 кв. метр площади отдельных объектов, относящихся к общему имуществу многоквартирного дома, на 1 прибор учета соответствующего коммунального ресурса и др.)</w:t>
      </w:r>
      <w:r w:rsidRPr="0092351C">
        <w:rPr>
          <w:rFonts w:ascii="Verdana" w:hAnsi="Verdana" w:cs="Times New Roman"/>
          <w:color w:val="000000"/>
          <w:sz w:val="20"/>
          <w:szCs w:val="20"/>
        </w:rPr>
        <w:cr/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b/>
          <w:color w:val="000000"/>
          <w:sz w:val="20"/>
          <w:szCs w:val="20"/>
        </w:rPr>
        <w:t xml:space="preserve"> Информационный блок 6: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Сведения о ценах (тарифах) на коммунальные ресурсы 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перечень коммунальных ресурсов, которые управляющая организация закупает у ресурсоснабжающих организаций, указание конкретных поставщиков коммунальных ресурсов, объем закупаемых ресурсов (по каждому из видов ресурсов), цены на такие ресурсы (по каждому из видов ресурсов)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>тарифы (цены) для потребителей, установленные для ресурсоснабжающих организаций, у которых управляющая организация закупает коммунальные ресурсы  реквизиты нормативных правовых актов (дата, номер, наименование принявшего акт органа), которыми установлены такие тарифы (цены).</w:t>
      </w:r>
    </w:p>
    <w:p w:rsidR="00FC2EC7" w:rsidRPr="0092351C" w:rsidRDefault="00FC2EC7" w:rsidP="00FC2E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hAnsi="Verdana" w:cs="Times New Roman"/>
          <w:smallCaps/>
          <w:color w:val="000000"/>
          <w:sz w:val="20"/>
          <w:szCs w:val="20"/>
        </w:rPr>
      </w:pPr>
      <w:r w:rsidRPr="0092351C">
        <w:rPr>
          <w:rFonts w:ascii="Verdana" w:hAnsi="Verdana" w:cs="Times New Roman"/>
          <w:color w:val="000000"/>
          <w:sz w:val="20"/>
          <w:szCs w:val="20"/>
        </w:rPr>
        <w:t xml:space="preserve"> тарифы (цены) на коммунальные услуги, которые применяются управляющей организацией для расчета размера платежей для потребителей</w:t>
      </w:r>
    </w:p>
    <w:p w:rsidR="00FC2EC7" w:rsidRPr="0092351C" w:rsidRDefault="00FC2EC7" w:rsidP="00FC2EC7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t>В проведении мониторинга принимали участие студенты юридического факультета Кемеровского государственного университета (2, 3 курс).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t>Исходя из списка представлено на сайте «Реформа ЖКХ» было проверено 481 управляющих организаций из них только у 207 организаций  информация представлена в сети интернет на собственном сайте. Данные организации имеют разные формы:</w:t>
      </w:r>
    </w:p>
    <w:p w:rsidR="00FC2EC7" w:rsidRPr="0092351C" w:rsidRDefault="00FC2EC7" w:rsidP="00FC2EC7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 xml:space="preserve">управляющие компании (УК), </w:t>
      </w:r>
    </w:p>
    <w:p w:rsidR="00FC2EC7" w:rsidRPr="0092351C" w:rsidRDefault="00FC2EC7" w:rsidP="00FC2EC7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 xml:space="preserve">товарищества собственников жилья (ТСЖ) </w:t>
      </w:r>
    </w:p>
    <w:p w:rsidR="00FC2EC7" w:rsidRPr="0092351C" w:rsidRDefault="00FC2EC7" w:rsidP="00FC2EC7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жилищные кооперативы (ЖК, ЖСК)</w:t>
      </w:r>
    </w:p>
    <w:p w:rsidR="00FC2EC7" w:rsidRPr="0092351C" w:rsidRDefault="00FC2EC7" w:rsidP="00FC2EC7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индивидуальные предприниматели (ИП)</w:t>
      </w:r>
    </w:p>
    <w:p w:rsidR="00FC2EC7" w:rsidRPr="0092351C" w:rsidRDefault="00FC2EC7" w:rsidP="00FC2EC7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sz w:val="20"/>
          <w:szCs w:val="20"/>
        </w:rPr>
        <w:t>муниципальные предприятия, учреждения (МП)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2351C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>
            <wp:extent cx="5973750" cy="2257064"/>
            <wp:effectExtent l="19050" t="0" r="2700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t>Можно сказать, что практически половина (51%) управляющих организаций представляют информацию в сети интернет. Необходимо отметить, что информацию представляют 70% управляющих компаний (коммерческие организации), при том, что среди товариществ собственников жилья только 27% представлены в интернете. Возможно, это связано с тем, что изначально в Стандарт был прописан только для УК, а затем были приняты поправки о применении стандарта к ТСЖ.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5942836" cy="2384385"/>
            <wp:effectExtent l="19050" t="0" r="19814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t xml:space="preserve">Далее мы будем рассматривать только те организации, информация о которых представлена в сети интернет на собственном сайте (это 207 организаций). И мы в своем мониторинге будем говорить только о </w:t>
      </w:r>
      <w:r w:rsidRPr="0092351C">
        <w:rPr>
          <w:rFonts w:ascii="Verdana" w:hAnsi="Verdana"/>
          <w:b/>
          <w:sz w:val="20"/>
          <w:szCs w:val="20"/>
        </w:rPr>
        <w:t xml:space="preserve">«наличии» </w:t>
      </w:r>
      <w:r w:rsidRPr="0092351C">
        <w:rPr>
          <w:rFonts w:ascii="Verdana" w:hAnsi="Verdana"/>
          <w:sz w:val="20"/>
          <w:szCs w:val="20"/>
        </w:rPr>
        <w:t>информации на сайте, не оценивая полноту ее представления.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2351C">
        <w:rPr>
          <w:rFonts w:ascii="Verdana" w:hAnsi="Verdana" w:cs="Times New Roman"/>
          <w:b/>
          <w:sz w:val="20"/>
          <w:szCs w:val="20"/>
        </w:rPr>
        <w:t>Общая информация об управляющих организациях (полное и краткое наименование, сведения о руководителе, ОГРН, почтовый и юридический адрес и др.)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t>На сайтах всех управляющих компаний представлено наименование юридического лица, ФИО руководителя, но не у всех представлена информация о дате регистрации, сведения о регистрирующем органе (у 62 управляющих организаций данная информация не представлена).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2351C">
        <w:rPr>
          <w:rFonts w:ascii="Verdana" w:hAnsi="Verdana"/>
          <w:b/>
          <w:sz w:val="20"/>
          <w:szCs w:val="20"/>
        </w:rPr>
        <w:t>2</w:t>
      </w:r>
      <w:r w:rsidRPr="0092351C">
        <w:rPr>
          <w:rFonts w:ascii="Verdana" w:hAnsi="Verdana"/>
          <w:b/>
          <w:sz w:val="20"/>
          <w:szCs w:val="20"/>
        </w:rPr>
        <w:tab/>
      </w:r>
      <w:r w:rsidRPr="0092351C">
        <w:rPr>
          <w:rFonts w:ascii="Verdana" w:hAnsi="Verdana"/>
          <w:b/>
          <w:bCs/>
          <w:sz w:val="20"/>
          <w:szCs w:val="20"/>
        </w:rPr>
        <w:t>Основные показатели финансово-хозяйственной деятельности управляющей организации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2351C">
        <w:rPr>
          <w:rFonts w:ascii="Verdana" w:hAnsi="Verdana"/>
          <w:bCs/>
          <w:sz w:val="20"/>
          <w:szCs w:val="20"/>
        </w:rPr>
        <w:t>Годовая бухгалтерская отчетность, включая бухгалтерский баланс и приложения к нему представлена на 81 сайте. Сведения о доходах, полученных за оказание услуг по управлению многоквартирными домами (по данным раздельного учета доходов и расходов) содержат 62 сайта, сведения о расходах, понесенных в связи с оказанием услуг по управлению многоквартирными домами (по данным раздельного учета доходов и расходов) – 98 сайтов.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2351C">
        <w:rPr>
          <w:rFonts w:ascii="Verdana" w:hAnsi="Verdana"/>
          <w:bCs/>
          <w:noProof/>
          <w:sz w:val="20"/>
          <w:szCs w:val="20"/>
        </w:rPr>
        <w:drawing>
          <wp:inline distT="0" distB="0" distL="0" distR="0">
            <wp:extent cx="5940425" cy="2954578"/>
            <wp:effectExtent l="19050" t="0" r="3175" b="0"/>
            <wp:docPr id="2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62" cy="4083050"/>
                      <a:chOff x="395288" y="2133600"/>
                      <a:chExt cx="8208962" cy="4083050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395288" y="2133600"/>
                        <a:ext cx="8208962" cy="15684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Font typeface="+mj-lt"/>
                            <a:buAutoNum type="arabicPeriod"/>
                            <a:defRPr/>
                          </a:pPr>
                          <a:r>
                            <a:rPr lang="ru-RU" sz="1600" dirty="0"/>
                            <a:t>годовая бухгалтерская отчетность, включая бухгалтерский баланс и приложения к нему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  <a:defRPr/>
                          </a:pPr>
                          <a:r>
                            <a:rPr lang="ru-RU" sz="1600" dirty="0"/>
                            <a:t>сведения о доходах, полученных за оказание услуг по управлению многоквартирными домами (по данным раздельного учета доходов и расходов)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  <a:defRPr/>
                          </a:pPr>
                          <a:r>
                            <a:rPr lang="ru-RU" sz="1600" dirty="0"/>
                            <a:t>сведения о расходах, понесенных в связи с оказанием услуг по управлению многоквартирными домами (по данным раздельного учета доходов и расходов)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0" name="Диаграмма 4"/>
                      <a:cNvPicPr>
                        <a:picLocks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7513" y="3738563"/>
                        <a:ext cx="8021637" cy="2478087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92351C">
        <w:rPr>
          <w:rFonts w:ascii="Verdana" w:hAnsi="Verdana" w:cs="Times New Roman"/>
          <w:b/>
          <w:bCs/>
          <w:sz w:val="20"/>
          <w:szCs w:val="20"/>
        </w:rPr>
        <w:t>3.</w:t>
      </w:r>
      <w:r w:rsidRPr="0092351C">
        <w:rPr>
          <w:rFonts w:ascii="Verdana" w:hAnsi="Verdana" w:cs="Times New Roman"/>
          <w:b/>
          <w:bCs/>
          <w:sz w:val="20"/>
          <w:szCs w:val="20"/>
        </w:rPr>
        <w:tab/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2351C">
        <w:rPr>
          <w:rFonts w:ascii="Verdana" w:hAnsi="Verdana"/>
          <w:sz w:val="20"/>
          <w:szCs w:val="20"/>
        </w:rPr>
        <w:lastRenderedPageBreak/>
        <w:t>Перечень услуг, оказываемые управляющей организацией в отношении общего имущества собственников раскрывают 89 сайтов. Услуги, связанные с достижением целей управления многоквартирным домом, которые оказываются управляющей организацией 90 сайтах управляющих компаний.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– показано на 28 сайтах, а охранные услуги, учет собственников и т.п. – на 42.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92351C">
        <w:rPr>
          <w:rFonts w:ascii="Verdana" w:hAnsi="Verdana" w:cs="Times New Roman"/>
          <w:b/>
          <w:sz w:val="20"/>
          <w:szCs w:val="20"/>
        </w:rPr>
        <w:t>4.</w:t>
      </w:r>
      <w:r w:rsidRPr="0092351C">
        <w:rPr>
          <w:rFonts w:ascii="Verdana" w:hAnsi="Verdana" w:cs="Times New Roman"/>
          <w:b/>
          <w:sz w:val="20"/>
          <w:szCs w:val="20"/>
        </w:rPr>
        <w:tab/>
      </w:r>
      <w:r w:rsidRPr="0092351C">
        <w:rPr>
          <w:rFonts w:ascii="Verdana" w:hAnsi="Verdana" w:cs="Times New Roman"/>
          <w:b/>
          <w:bCs/>
          <w:sz w:val="20"/>
          <w:szCs w:val="20"/>
        </w:rPr>
        <w:t>Порядок и условия оказания услуг по содержанию и ремонту общего имущества в многоквартирном доме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24"/>
          <w:sz w:val="20"/>
          <w:szCs w:val="20"/>
        </w:rPr>
      </w:pPr>
      <w:r w:rsidRPr="0092351C">
        <w:rPr>
          <w:rFonts w:ascii="Verdana" w:eastAsia="Times New Roman" w:hAnsi="Verdana" w:cs="Times New Roman"/>
          <w:color w:val="000000"/>
          <w:kern w:val="24"/>
          <w:sz w:val="20"/>
          <w:szCs w:val="20"/>
        </w:rPr>
        <w:t>Проект договора управления (типовой договор), заключаемого с собственниками помещений в многоквартирных домах имеется на 81 сайте управляющих компаний. План работ на текущий год по содержанию и ремонту общего имущества многоквартирного дома – на 41 сайте. 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 имеются только на 27 сайтах.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 содержатся на 31 сайте, сведения о фактах выявления ненадлежащего качества услуг и работ и (или) превышения установленной продолжительности перерывов в оказании услуг или ненадлежащем выполнении работ – на 43. В случае привлечения управляющей организации в предыдущем календарном году к административной ответственности за нарушения в сфере управления многоквартирными домами раскрытию подлежит (количество таких случаев) информация представлена на 30 сайтах.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</w:pPr>
      <w:r w:rsidRPr="0092351C"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  <w:t>5.</w:t>
      </w:r>
      <w:r w:rsidRPr="0092351C"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  <w:tab/>
        <w:t>Сведения о стоимости работ (услуг) по содержанию и ремонту общего имущества в многоквартирном доме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Cs/>
          <w:color w:val="000000"/>
          <w:kern w:val="24"/>
          <w:sz w:val="20"/>
          <w:szCs w:val="20"/>
        </w:rPr>
      </w:pPr>
      <w:r w:rsidRPr="0092351C">
        <w:rPr>
          <w:rFonts w:ascii="Verdana" w:hAnsi="Verdana" w:cs="Times New Roman"/>
          <w:bCs/>
          <w:color w:val="000000"/>
          <w:kern w:val="24"/>
          <w:sz w:val="20"/>
          <w:szCs w:val="20"/>
        </w:rPr>
        <w:t>На 98 сайтах управляющих компаний содержится информация о стоимости каждой услуги, на 85 – описание содержания каждой работы, результат выполнения услуги.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</w:pPr>
      <w:r w:rsidRPr="0092351C"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  <w:t>6.</w:t>
      </w:r>
      <w:r w:rsidRPr="0092351C">
        <w:rPr>
          <w:rFonts w:ascii="Verdana" w:hAnsi="Verdana" w:cs="Times New Roman"/>
          <w:b/>
          <w:bCs/>
          <w:color w:val="000000"/>
          <w:kern w:val="24"/>
          <w:sz w:val="20"/>
          <w:szCs w:val="20"/>
        </w:rPr>
        <w:tab/>
        <w:t>Сведения о ценах (тарифах) на коммунальные ресурсы.</w:t>
      </w:r>
    </w:p>
    <w:p w:rsidR="00FC2EC7" w:rsidRPr="0092351C" w:rsidRDefault="00FC2EC7" w:rsidP="00FC2EC7">
      <w:pPr>
        <w:spacing w:after="0" w:line="240" w:lineRule="auto"/>
        <w:jc w:val="both"/>
        <w:rPr>
          <w:rFonts w:ascii="Verdana" w:hAnsi="Verdana" w:cs="Times New Roman"/>
          <w:bCs/>
          <w:color w:val="000000"/>
          <w:kern w:val="24"/>
          <w:sz w:val="20"/>
          <w:szCs w:val="20"/>
        </w:rPr>
      </w:pPr>
      <w:r w:rsidRPr="0092351C">
        <w:rPr>
          <w:rFonts w:ascii="Verdana" w:hAnsi="Verdana" w:cs="Times New Roman"/>
          <w:bCs/>
          <w:color w:val="000000"/>
          <w:kern w:val="24"/>
          <w:sz w:val="20"/>
          <w:szCs w:val="20"/>
        </w:rPr>
        <w:t>Цены на коммунальные ресурсы для потребителей раскрыты на 119 сайтах, цена закупки их у ресурсоснабжающей организации – на 110 сайтах, а перечень и объем закупок ресурсов – только на 55.</w:t>
      </w:r>
    </w:p>
    <w:p w:rsidR="00174D4D" w:rsidRPr="0092351C" w:rsidRDefault="00174D4D" w:rsidP="00564A7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174D4D" w:rsidRPr="0092351C" w:rsidSect="00654A87">
      <w:footerReference w:type="default" r:id="rId12"/>
      <w:pgSz w:w="11906" w:h="16838"/>
      <w:pgMar w:top="1134" w:right="1133" w:bottom="709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B0" w:rsidRDefault="00251FB0" w:rsidP="00654A87">
      <w:pPr>
        <w:spacing w:after="0" w:line="240" w:lineRule="auto"/>
      </w:pPr>
      <w:r>
        <w:separator/>
      </w:r>
    </w:p>
  </w:endnote>
  <w:endnote w:type="continuationSeparator" w:id="1">
    <w:p w:rsidR="00251FB0" w:rsidRDefault="00251FB0" w:rsidP="0065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907"/>
      <w:docPartObj>
        <w:docPartGallery w:val="Page Numbers (Bottom of Page)"/>
        <w:docPartUnique/>
      </w:docPartObj>
    </w:sdtPr>
    <w:sdtContent>
      <w:p w:rsidR="00654A87" w:rsidRDefault="00F02811">
        <w:pPr>
          <w:pStyle w:val="a6"/>
          <w:jc w:val="right"/>
        </w:pPr>
        <w:fldSimple w:instr=" PAGE   \* MERGEFORMAT ">
          <w:r w:rsidR="0092351C">
            <w:rPr>
              <w:noProof/>
            </w:rPr>
            <w:t>51</w:t>
          </w:r>
        </w:fldSimple>
      </w:p>
    </w:sdtContent>
  </w:sdt>
  <w:p w:rsidR="00654A87" w:rsidRDefault="00654A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B0" w:rsidRDefault="00251FB0" w:rsidP="00654A87">
      <w:pPr>
        <w:spacing w:after="0" w:line="240" w:lineRule="auto"/>
      </w:pPr>
      <w:r>
        <w:separator/>
      </w:r>
    </w:p>
  </w:footnote>
  <w:footnote w:type="continuationSeparator" w:id="1">
    <w:p w:rsidR="00251FB0" w:rsidRDefault="00251FB0" w:rsidP="0065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FEC"/>
    <w:multiLevelType w:val="hybridMultilevel"/>
    <w:tmpl w:val="3DE4A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318"/>
    <w:multiLevelType w:val="hybridMultilevel"/>
    <w:tmpl w:val="9AEA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1171"/>
    <w:multiLevelType w:val="hybridMultilevel"/>
    <w:tmpl w:val="661A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B4"/>
    <w:multiLevelType w:val="hybridMultilevel"/>
    <w:tmpl w:val="018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7548"/>
    <w:multiLevelType w:val="hybridMultilevel"/>
    <w:tmpl w:val="3A8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D0AC4"/>
    <w:multiLevelType w:val="hybridMultilevel"/>
    <w:tmpl w:val="60284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C76"/>
    <w:rsid w:val="000A1735"/>
    <w:rsid w:val="00124D34"/>
    <w:rsid w:val="00174D4D"/>
    <w:rsid w:val="00214F83"/>
    <w:rsid w:val="00251FB0"/>
    <w:rsid w:val="002D7B33"/>
    <w:rsid w:val="003426F2"/>
    <w:rsid w:val="00410A49"/>
    <w:rsid w:val="004552F8"/>
    <w:rsid w:val="00564A7D"/>
    <w:rsid w:val="00567E73"/>
    <w:rsid w:val="005B75CB"/>
    <w:rsid w:val="005C2CFA"/>
    <w:rsid w:val="00602115"/>
    <w:rsid w:val="00654A87"/>
    <w:rsid w:val="006B2CF6"/>
    <w:rsid w:val="006D1C76"/>
    <w:rsid w:val="00735750"/>
    <w:rsid w:val="00760CC0"/>
    <w:rsid w:val="0086031D"/>
    <w:rsid w:val="00905354"/>
    <w:rsid w:val="0092351C"/>
    <w:rsid w:val="009B75A1"/>
    <w:rsid w:val="00A000B4"/>
    <w:rsid w:val="00A160B9"/>
    <w:rsid w:val="00A47DAA"/>
    <w:rsid w:val="00AC1960"/>
    <w:rsid w:val="00B12450"/>
    <w:rsid w:val="00BF6D72"/>
    <w:rsid w:val="00CE683F"/>
    <w:rsid w:val="00D9369A"/>
    <w:rsid w:val="00DF3ED6"/>
    <w:rsid w:val="00E32E13"/>
    <w:rsid w:val="00EE296C"/>
    <w:rsid w:val="00EF3693"/>
    <w:rsid w:val="00F02811"/>
    <w:rsid w:val="00F13992"/>
    <w:rsid w:val="00F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A87"/>
  </w:style>
  <w:style w:type="paragraph" w:styleId="a6">
    <w:name w:val="footer"/>
    <w:basedOn w:val="a"/>
    <w:link w:val="a7"/>
    <w:uiPriority w:val="99"/>
    <w:unhideWhenUsed/>
    <w:rsid w:val="0065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A87"/>
  </w:style>
  <w:style w:type="paragraph" w:styleId="a8">
    <w:name w:val="Balloon Text"/>
    <w:basedOn w:val="a"/>
    <w:link w:val="a9"/>
    <w:uiPriority w:val="99"/>
    <w:semiHidden/>
    <w:unhideWhenUsed/>
    <w:rsid w:val="005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48053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ormagkh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УК</c:v>
                </c:pt>
                <c:pt idx="1">
                  <c:v>ТСЖ</c:v>
                </c:pt>
                <c:pt idx="2">
                  <c:v>ЖСК</c:v>
                </c:pt>
                <c:pt idx="3">
                  <c:v>ИП</c:v>
                </c:pt>
                <c:pt idx="4">
                  <c:v>МП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223</c:v>
                </c:pt>
                <c:pt idx="1">
                  <c:v>168</c:v>
                </c:pt>
                <c:pt idx="2">
                  <c:v>8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них, размещающие информацию на сайте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УК</c:v>
                </c:pt>
                <c:pt idx="1">
                  <c:v>ТСЖ</c:v>
                </c:pt>
                <c:pt idx="2">
                  <c:v>ЖСК</c:v>
                </c:pt>
                <c:pt idx="3">
                  <c:v>ИП</c:v>
                </c:pt>
                <c:pt idx="4">
                  <c:v>МП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155</c:v>
                </c:pt>
                <c:pt idx="1">
                  <c:v>46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shape val="box"/>
        <c:axId val="44731392"/>
        <c:axId val="56881536"/>
        <c:axId val="0"/>
      </c:bar3DChart>
      <c:catAx>
        <c:axId val="44731392"/>
        <c:scaling>
          <c:orientation val="minMax"/>
        </c:scaling>
        <c:axPos val="b"/>
        <c:tickLblPos val="nextTo"/>
        <c:crossAx val="56881536"/>
        <c:crosses val="autoZero"/>
        <c:auto val="1"/>
        <c:lblAlgn val="ctr"/>
        <c:lblOffset val="100"/>
      </c:catAx>
      <c:valAx>
        <c:axId val="56881536"/>
        <c:scaling>
          <c:orientation val="minMax"/>
        </c:scaling>
        <c:axPos val="l"/>
        <c:majorGridlines/>
        <c:numFmt formatCode="General" sourceLinked="1"/>
        <c:tickLblPos val="nextTo"/>
        <c:crossAx val="44731392"/>
        <c:crosses val="autoZero"/>
        <c:crossBetween val="between"/>
      </c:valAx>
    </c:plotArea>
    <c:legend>
      <c:legendPos val="r"/>
      <c:overlay val="1"/>
    </c:legend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представлена информация в сети интернет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УК</c:v>
                </c:pt>
                <c:pt idx="1">
                  <c:v>ТСЖ</c:v>
                </c:pt>
                <c:pt idx="2">
                  <c:v>ЖСК</c:v>
                </c:pt>
                <c:pt idx="3">
                  <c:v>ИП</c:v>
                </c:pt>
                <c:pt idx="4">
                  <c:v>МП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122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представлена информация в сети интернет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УК</c:v>
                </c:pt>
                <c:pt idx="1">
                  <c:v>ТСЖ</c:v>
                </c:pt>
                <c:pt idx="2">
                  <c:v>ЖСК</c:v>
                </c:pt>
                <c:pt idx="3">
                  <c:v>ИП</c:v>
                </c:pt>
                <c:pt idx="4">
                  <c:v>МП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155</c:v>
                </c:pt>
                <c:pt idx="1">
                  <c:v>46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Val val="1"/>
        </c:dLbls>
        <c:overlap val="100"/>
        <c:axId val="71770880"/>
        <c:axId val="71817088"/>
      </c:barChart>
      <c:catAx>
        <c:axId val="71770880"/>
        <c:scaling>
          <c:orientation val="minMax"/>
        </c:scaling>
        <c:axPos val="l"/>
        <c:tickLblPos val="nextTo"/>
        <c:crossAx val="71817088"/>
        <c:crosses val="autoZero"/>
        <c:auto val="1"/>
        <c:lblAlgn val="ctr"/>
        <c:lblOffset val="100"/>
      </c:catAx>
      <c:valAx>
        <c:axId val="71817088"/>
        <c:scaling>
          <c:orientation val="minMax"/>
        </c:scaling>
        <c:axPos val="b"/>
        <c:majorGridlines/>
        <c:numFmt formatCode="0%" sourceLinked="1"/>
        <c:tickLblPos val="nextTo"/>
        <c:crossAx val="7177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1470</Words>
  <Characters>10413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ОПКО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lagunova</dc:creator>
  <cp:keywords/>
  <dc:description/>
  <cp:lastModifiedBy>WORK</cp:lastModifiedBy>
  <cp:revision>14</cp:revision>
  <cp:lastPrinted>2014-03-19T04:53:00Z</cp:lastPrinted>
  <dcterms:created xsi:type="dcterms:W3CDTF">2013-12-25T10:23:00Z</dcterms:created>
  <dcterms:modified xsi:type="dcterms:W3CDTF">2014-10-20T07:17:00Z</dcterms:modified>
</cp:coreProperties>
</file>